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7AA00A" w14:textId="24E4B201" w:rsidR="00AC7A99" w:rsidRPr="00EE34C4" w:rsidRDefault="005A525A" w:rsidP="00484D7E">
      <w:pPr>
        <w:spacing w:after="0" w:line="360" w:lineRule="auto"/>
        <w:jc w:val="center"/>
        <w:rPr>
          <w:rFonts w:cstheme="minorHAnsi"/>
          <w:b/>
          <w:sz w:val="28"/>
          <w:szCs w:val="28"/>
        </w:rPr>
      </w:pPr>
      <w:r w:rsidRPr="00EE34C4">
        <w:rPr>
          <w:rFonts w:cstheme="minorHAnsi"/>
          <w:b/>
          <w:bCs/>
          <w:sz w:val="28"/>
          <w:szCs w:val="28"/>
        </w:rPr>
        <w:t>MIGRATION DIALOGUE FOR WEST AFRICA</w:t>
      </w:r>
    </w:p>
    <w:p w14:paraId="79D6D818" w14:textId="0D8D5ECD" w:rsidR="00484D7E" w:rsidRPr="00EE34C4" w:rsidRDefault="00484D7E" w:rsidP="00484D7E">
      <w:pPr>
        <w:spacing w:after="0" w:line="360" w:lineRule="auto"/>
        <w:jc w:val="center"/>
        <w:rPr>
          <w:rFonts w:cstheme="minorHAnsi"/>
          <w:b/>
          <w:sz w:val="28"/>
          <w:szCs w:val="28"/>
        </w:rPr>
      </w:pPr>
      <w:r w:rsidRPr="00EE34C4">
        <w:rPr>
          <w:rFonts w:cstheme="minorHAnsi"/>
          <w:b/>
          <w:sz w:val="28"/>
          <w:szCs w:val="28"/>
        </w:rPr>
        <w:t>THEMATIC WORKING GROUP ON “CLIMATE CHANGE, LAND DEGRADATION, DESERTIFICATION, ENVIRONMENT AND MIGRATION”</w:t>
      </w:r>
    </w:p>
    <w:p w14:paraId="5B2622CF" w14:textId="77777777" w:rsidR="004E54BA" w:rsidRPr="00EE34C4" w:rsidRDefault="004E54BA" w:rsidP="00817939">
      <w:pPr>
        <w:rPr>
          <w:rFonts w:cstheme="minorHAnsi"/>
        </w:rPr>
      </w:pPr>
    </w:p>
    <w:p w14:paraId="6101E871" w14:textId="1117DA80" w:rsidR="00731696" w:rsidRPr="00EE34C4" w:rsidRDefault="00484D7E" w:rsidP="00484D7E">
      <w:pPr>
        <w:jc w:val="center"/>
        <w:rPr>
          <w:rFonts w:cstheme="minorHAnsi"/>
          <w:b/>
          <w:bCs/>
          <w:sz w:val="28"/>
          <w:szCs w:val="28"/>
        </w:rPr>
      </w:pPr>
      <w:r w:rsidRPr="00EE34C4">
        <w:rPr>
          <w:rFonts w:cstheme="minorHAnsi"/>
          <w:b/>
          <w:bCs/>
          <w:sz w:val="28"/>
          <w:szCs w:val="28"/>
        </w:rPr>
        <w:t>Terms of Reference</w:t>
      </w:r>
    </w:p>
    <w:p w14:paraId="38DF5602" w14:textId="77777777" w:rsidR="00484D7E" w:rsidRPr="00EE34C4" w:rsidRDefault="00484D7E" w:rsidP="00817939">
      <w:pPr>
        <w:rPr>
          <w:rFonts w:cstheme="minorHAnsi"/>
        </w:rPr>
      </w:pPr>
    </w:p>
    <w:p w14:paraId="6AF36C35" w14:textId="77777777" w:rsidR="00484D7E" w:rsidRPr="00EE34C4" w:rsidRDefault="00484D7E" w:rsidP="006970E4">
      <w:pPr>
        <w:spacing w:after="120" w:line="240" w:lineRule="auto"/>
        <w:jc w:val="both"/>
        <w:rPr>
          <w:rFonts w:cstheme="minorHAnsi"/>
          <w:b/>
          <w:bCs/>
          <w:iCs/>
        </w:rPr>
      </w:pPr>
      <w:r w:rsidRPr="00EE34C4">
        <w:rPr>
          <w:rFonts w:cstheme="minorHAnsi"/>
          <w:b/>
          <w:bCs/>
          <w:iCs/>
        </w:rPr>
        <w:t>Objective</w:t>
      </w:r>
    </w:p>
    <w:p w14:paraId="136A6F1E" w14:textId="082971DF" w:rsidR="00484D7E" w:rsidRPr="00EE34C4" w:rsidRDefault="00484D7E" w:rsidP="006970E4">
      <w:pPr>
        <w:spacing w:after="120" w:line="240" w:lineRule="auto"/>
        <w:jc w:val="both"/>
        <w:rPr>
          <w:rFonts w:cstheme="minorHAnsi"/>
        </w:rPr>
      </w:pPr>
      <w:r w:rsidRPr="00EE34C4">
        <w:rPr>
          <w:rFonts w:cstheme="minorHAnsi"/>
        </w:rPr>
        <w:t xml:space="preserve">The general objective of the </w:t>
      </w:r>
      <w:r w:rsidR="005251D4" w:rsidRPr="00EE34C4">
        <w:rPr>
          <w:rFonts w:cstheme="minorHAnsi"/>
        </w:rPr>
        <w:t xml:space="preserve">Migration Dialogue for West Africa (MIDWA) </w:t>
      </w:r>
      <w:r w:rsidR="006050D1" w:rsidRPr="00EE34C4">
        <w:rPr>
          <w:rFonts w:cstheme="minorHAnsi"/>
        </w:rPr>
        <w:t>Thematic</w:t>
      </w:r>
      <w:r w:rsidR="005251D4" w:rsidRPr="00EE34C4">
        <w:rPr>
          <w:rFonts w:cstheme="minorHAnsi"/>
        </w:rPr>
        <w:t xml:space="preserve"> Working Group on “Climate </w:t>
      </w:r>
      <w:r w:rsidR="00FE634E" w:rsidRPr="00EE34C4">
        <w:rPr>
          <w:rFonts w:cstheme="minorHAnsi"/>
        </w:rPr>
        <w:t>Change, Land Degradation, Desertification, Environment and Migration</w:t>
      </w:r>
      <w:r w:rsidR="005251D4" w:rsidRPr="00EE34C4">
        <w:rPr>
          <w:rFonts w:cstheme="minorHAnsi"/>
        </w:rPr>
        <w:t xml:space="preserve">” </w:t>
      </w:r>
      <w:r w:rsidR="004F50AC" w:rsidRPr="00EE34C4">
        <w:rPr>
          <w:rFonts w:cstheme="minorHAnsi"/>
        </w:rPr>
        <w:t>is</w:t>
      </w:r>
      <w:r w:rsidRPr="00EE34C4">
        <w:rPr>
          <w:rFonts w:cstheme="minorHAnsi"/>
        </w:rPr>
        <w:t xml:space="preserve"> to address migration, displacement and planned relocation in the context of disasters, climate change and environmental degradation.</w:t>
      </w:r>
    </w:p>
    <w:p w14:paraId="22D733B4" w14:textId="1A2574A5" w:rsidR="00484D7E" w:rsidRPr="00EE34C4" w:rsidRDefault="00484D7E" w:rsidP="006970E4">
      <w:pPr>
        <w:spacing w:after="120" w:line="240" w:lineRule="auto"/>
        <w:jc w:val="both"/>
        <w:rPr>
          <w:rFonts w:cstheme="minorHAnsi"/>
        </w:rPr>
      </w:pPr>
      <w:r w:rsidRPr="00EE34C4">
        <w:rPr>
          <w:rFonts w:cstheme="minorHAnsi"/>
        </w:rPr>
        <w:t>In particular, the working group will be responsible for:</w:t>
      </w:r>
    </w:p>
    <w:p w14:paraId="34E73A29" w14:textId="77777777" w:rsidR="00484D7E" w:rsidRPr="00EE34C4" w:rsidRDefault="00484D7E" w:rsidP="006970E4">
      <w:pPr>
        <w:spacing w:after="120" w:line="240" w:lineRule="auto"/>
        <w:jc w:val="both"/>
        <w:rPr>
          <w:rFonts w:cstheme="minorHAnsi"/>
          <w:i/>
          <w:u w:val="single"/>
        </w:rPr>
      </w:pPr>
      <w:r w:rsidRPr="00EE34C4">
        <w:rPr>
          <w:rFonts w:cstheme="minorHAnsi"/>
          <w:i/>
          <w:u w:val="single"/>
        </w:rPr>
        <w:t>General Responsibilities</w:t>
      </w:r>
    </w:p>
    <w:p w14:paraId="3B860D94" w14:textId="77777777" w:rsidR="00D13C13" w:rsidRPr="00EE34C4" w:rsidRDefault="00D13C13" w:rsidP="006970E4">
      <w:pPr>
        <w:pStyle w:val="Default"/>
        <w:numPr>
          <w:ilvl w:val="0"/>
          <w:numId w:val="1"/>
        </w:numPr>
        <w:spacing w:after="120"/>
        <w:jc w:val="both"/>
        <w:rPr>
          <w:rFonts w:asciiTheme="minorHAnsi" w:hAnsiTheme="minorHAnsi" w:cstheme="minorHAnsi"/>
          <w:color w:val="auto"/>
          <w:sz w:val="22"/>
          <w:szCs w:val="22"/>
          <w:lang w:val="en-GB"/>
        </w:rPr>
      </w:pPr>
      <w:r w:rsidRPr="00EE34C4">
        <w:rPr>
          <w:rFonts w:asciiTheme="minorHAnsi" w:hAnsiTheme="minorHAnsi" w:cstheme="minorHAnsi"/>
          <w:color w:val="auto"/>
          <w:sz w:val="22"/>
          <w:szCs w:val="22"/>
          <w:lang w:val="en-GB"/>
        </w:rPr>
        <w:t>Inform the MIDWA Secretariat on projects implemented at the national level that can have an impact on bordering countries as well as on the region as a whole, in order to reinforce regional complementarity and harmonize approaches;</w:t>
      </w:r>
    </w:p>
    <w:p w14:paraId="20C3AB54" w14:textId="03083700" w:rsidR="00D13C13" w:rsidRPr="00EE34C4" w:rsidRDefault="00D13C13" w:rsidP="006970E4">
      <w:pPr>
        <w:pStyle w:val="Default"/>
        <w:numPr>
          <w:ilvl w:val="0"/>
          <w:numId w:val="1"/>
        </w:numPr>
        <w:spacing w:after="120"/>
        <w:jc w:val="both"/>
        <w:rPr>
          <w:rFonts w:asciiTheme="minorHAnsi" w:hAnsiTheme="minorHAnsi" w:cstheme="minorHAnsi"/>
          <w:color w:val="auto"/>
          <w:sz w:val="22"/>
          <w:szCs w:val="22"/>
          <w:lang w:val="en-GB"/>
        </w:rPr>
      </w:pPr>
      <w:r w:rsidRPr="00EE34C4">
        <w:rPr>
          <w:rFonts w:asciiTheme="minorHAnsi" w:hAnsiTheme="minorHAnsi" w:cstheme="minorHAnsi"/>
          <w:color w:val="auto"/>
          <w:sz w:val="22"/>
          <w:szCs w:val="22"/>
          <w:lang w:val="en-GB"/>
        </w:rPr>
        <w:t>Ensure coordination and synergy of actions with existing consultation mechanisms and in particular with the annual m</w:t>
      </w:r>
      <w:r w:rsidR="008355DD" w:rsidRPr="00EE34C4">
        <w:rPr>
          <w:rFonts w:asciiTheme="minorHAnsi" w:hAnsiTheme="minorHAnsi" w:cstheme="minorHAnsi"/>
          <w:color w:val="auto"/>
          <w:sz w:val="22"/>
          <w:szCs w:val="22"/>
          <w:lang w:val="en-GB"/>
        </w:rPr>
        <w:t>inisterial meeting of MIDWA</w:t>
      </w:r>
      <w:r w:rsidRPr="00EE34C4">
        <w:rPr>
          <w:rFonts w:asciiTheme="minorHAnsi" w:hAnsiTheme="minorHAnsi" w:cstheme="minorHAnsi"/>
          <w:color w:val="auto"/>
          <w:sz w:val="22"/>
          <w:szCs w:val="22"/>
          <w:lang w:val="en-GB"/>
        </w:rPr>
        <w:t>;</w:t>
      </w:r>
    </w:p>
    <w:p w14:paraId="0D9070B6" w14:textId="3EC93932" w:rsidR="00D13C13" w:rsidRPr="00EE34C4" w:rsidRDefault="00D13C13" w:rsidP="006970E4">
      <w:pPr>
        <w:pStyle w:val="Default"/>
        <w:numPr>
          <w:ilvl w:val="0"/>
          <w:numId w:val="1"/>
        </w:numPr>
        <w:spacing w:after="120"/>
        <w:jc w:val="both"/>
        <w:rPr>
          <w:rFonts w:asciiTheme="minorHAnsi" w:hAnsiTheme="minorHAnsi" w:cstheme="minorHAnsi"/>
          <w:color w:val="auto"/>
          <w:sz w:val="22"/>
          <w:szCs w:val="22"/>
          <w:lang w:val="en-GB"/>
        </w:rPr>
      </w:pPr>
      <w:r w:rsidRPr="00EE34C4">
        <w:rPr>
          <w:rFonts w:asciiTheme="minorHAnsi" w:hAnsiTheme="minorHAnsi" w:cstheme="minorHAnsi"/>
          <w:color w:val="auto"/>
          <w:sz w:val="22"/>
          <w:szCs w:val="22"/>
          <w:lang w:val="en-GB"/>
        </w:rPr>
        <w:t xml:space="preserve">Develop </w:t>
      </w:r>
      <w:r w:rsidR="000710B5" w:rsidRPr="00EE34C4">
        <w:rPr>
          <w:rFonts w:asciiTheme="minorHAnsi" w:hAnsiTheme="minorHAnsi" w:cstheme="minorHAnsi"/>
          <w:color w:val="auto"/>
          <w:sz w:val="22"/>
          <w:szCs w:val="22"/>
          <w:lang w:val="en-GB"/>
        </w:rPr>
        <w:t xml:space="preserve">and implement </w:t>
      </w:r>
      <w:r w:rsidRPr="00EE34C4">
        <w:rPr>
          <w:rFonts w:asciiTheme="minorHAnsi" w:hAnsiTheme="minorHAnsi" w:cstheme="minorHAnsi"/>
          <w:color w:val="auto"/>
          <w:sz w:val="22"/>
          <w:szCs w:val="22"/>
          <w:lang w:val="en-GB"/>
        </w:rPr>
        <w:t>an annual work plan set</w:t>
      </w:r>
      <w:r w:rsidR="000710B5" w:rsidRPr="00EE34C4">
        <w:rPr>
          <w:rFonts w:asciiTheme="minorHAnsi" w:hAnsiTheme="minorHAnsi" w:cstheme="minorHAnsi"/>
          <w:color w:val="auto"/>
          <w:sz w:val="22"/>
          <w:szCs w:val="22"/>
          <w:lang w:val="en-GB"/>
        </w:rPr>
        <w:t>ting</w:t>
      </w:r>
      <w:r w:rsidRPr="00EE34C4">
        <w:rPr>
          <w:rFonts w:asciiTheme="minorHAnsi" w:hAnsiTheme="minorHAnsi" w:cstheme="minorHAnsi"/>
          <w:color w:val="auto"/>
          <w:sz w:val="22"/>
          <w:szCs w:val="22"/>
          <w:lang w:val="en-GB"/>
        </w:rPr>
        <w:t xml:space="preserve"> out the group's </w:t>
      </w:r>
      <w:r w:rsidR="009C6C28" w:rsidRPr="00EE34C4">
        <w:rPr>
          <w:rFonts w:asciiTheme="minorHAnsi" w:hAnsiTheme="minorHAnsi" w:cstheme="minorHAnsi"/>
          <w:color w:val="auto"/>
          <w:sz w:val="22"/>
          <w:szCs w:val="22"/>
          <w:lang w:val="en-GB"/>
        </w:rPr>
        <w:t>priorities</w:t>
      </w:r>
      <w:r w:rsidRPr="00EE34C4">
        <w:rPr>
          <w:rFonts w:asciiTheme="minorHAnsi" w:hAnsiTheme="minorHAnsi" w:cstheme="minorHAnsi"/>
          <w:color w:val="auto"/>
          <w:sz w:val="22"/>
          <w:szCs w:val="22"/>
          <w:lang w:val="en-GB"/>
        </w:rPr>
        <w:t>.</w:t>
      </w:r>
    </w:p>
    <w:p w14:paraId="25AF1275" w14:textId="77777777" w:rsidR="00484D7E" w:rsidRPr="00EE34C4" w:rsidRDefault="00484D7E" w:rsidP="006970E4">
      <w:pPr>
        <w:spacing w:after="120" w:line="240" w:lineRule="auto"/>
        <w:jc w:val="both"/>
        <w:rPr>
          <w:rFonts w:cstheme="minorHAnsi"/>
        </w:rPr>
      </w:pPr>
    </w:p>
    <w:p w14:paraId="4863EAFE" w14:textId="1AABDEBC" w:rsidR="00484D7E" w:rsidRPr="00EE34C4" w:rsidRDefault="00B8727C" w:rsidP="006970E4">
      <w:pPr>
        <w:spacing w:after="120" w:line="240" w:lineRule="auto"/>
        <w:jc w:val="both"/>
        <w:rPr>
          <w:rFonts w:cstheme="minorHAnsi"/>
          <w:i/>
          <w:u w:val="single"/>
        </w:rPr>
      </w:pPr>
      <w:r w:rsidRPr="00EE34C4">
        <w:rPr>
          <w:rFonts w:cstheme="minorHAnsi"/>
          <w:i/>
          <w:u w:val="single"/>
        </w:rPr>
        <w:t>Thematic R</w:t>
      </w:r>
      <w:r w:rsidR="00484D7E" w:rsidRPr="00EE34C4">
        <w:rPr>
          <w:rFonts w:cstheme="minorHAnsi"/>
          <w:i/>
          <w:u w:val="single"/>
        </w:rPr>
        <w:t>esponsibilities</w:t>
      </w:r>
    </w:p>
    <w:p w14:paraId="0EFF85E3" w14:textId="2F2AB583" w:rsidR="001F47AB" w:rsidRPr="00EE34C4" w:rsidRDefault="001F47AB" w:rsidP="006970E4">
      <w:pPr>
        <w:pStyle w:val="Default"/>
        <w:numPr>
          <w:ilvl w:val="0"/>
          <w:numId w:val="7"/>
        </w:numPr>
        <w:spacing w:after="120"/>
        <w:jc w:val="both"/>
        <w:rPr>
          <w:rFonts w:asciiTheme="minorHAnsi" w:hAnsiTheme="minorHAnsi" w:cstheme="minorHAnsi"/>
          <w:color w:val="auto"/>
          <w:sz w:val="22"/>
          <w:szCs w:val="22"/>
          <w:lang w:val="en-GB"/>
        </w:rPr>
      </w:pPr>
      <w:r w:rsidRPr="00EE34C4">
        <w:rPr>
          <w:rFonts w:asciiTheme="minorHAnsi" w:hAnsiTheme="minorHAnsi" w:cstheme="minorHAnsi"/>
          <w:color w:val="auto"/>
          <w:sz w:val="22"/>
          <w:szCs w:val="22"/>
          <w:lang w:val="en-GB"/>
        </w:rPr>
        <w:t xml:space="preserve">Bring together actors from the different relevant ministries (such as immigration, interior, labour, environment, climate change, disasters, humanitarian affairs, office of the prime minister etc.) in each country to form a shared understanding of environmental migration and disaster displacement at national </w:t>
      </w:r>
      <w:r w:rsidRPr="00EE34C4">
        <w:rPr>
          <w:rFonts w:asciiTheme="minorHAnsi" w:hAnsiTheme="minorHAnsi" w:cstheme="minorHAnsi"/>
          <w:color w:val="auto"/>
          <w:sz w:val="22"/>
          <w:szCs w:val="22"/>
          <w:lang w:val="en-GB"/>
        </w:rPr>
        <w:t xml:space="preserve">and regional </w:t>
      </w:r>
      <w:r w:rsidRPr="00EE34C4">
        <w:rPr>
          <w:rFonts w:asciiTheme="minorHAnsi" w:hAnsiTheme="minorHAnsi" w:cstheme="minorHAnsi"/>
          <w:color w:val="auto"/>
          <w:sz w:val="22"/>
          <w:szCs w:val="22"/>
          <w:lang w:val="en-GB"/>
        </w:rPr>
        <w:t>level</w:t>
      </w:r>
      <w:r w:rsidRPr="00EE34C4">
        <w:rPr>
          <w:rFonts w:asciiTheme="minorHAnsi" w:hAnsiTheme="minorHAnsi" w:cstheme="minorHAnsi"/>
          <w:color w:val="auto"/>
          <w:sz w:val="22"/>
          <w:szCs w:val="22"/>
          <w:lang w:val="en-GB"/>
        </w:rPr>
        <w:t>s</w:t>
      </w:r>
      <w:r w:rsidRPr="00EE34C4">
        <w:rPr>
          <w:rFonts w:asciiTheme="minorHAnsi" w:hAnsiTheme="minorHAnsi" w:cstheme="minorHAnsi"/>
          <w:color w:val="auto"/>
          <w:sz w:val="22"/>
          <w:szCs w:val="22"/>
          <w:lang w:val="en-GB"/>
        </w:rPr>
        <w:t>.</w:t>
      </w:r>
    </w:p>
    <w:p w14:paraId="07683D9F" w14:textId="2C9C9B53" w:rsidR="00A01D93" w:rsidRPr="00EE34C4" w:rsidRDefault="00A01D93" w:rsidP="006970E4">
      <w:pPr>
        <w:pStyle w:val="Default"/>
        <w:numPr>
          <w:ilvl w:val="0"/>
          <w:numId w:val="7"/>
        </w:numPr>
        <w:spacing w:after="120"/>
        <w:jc w:val="both"/>
        <w:rPr>
          <w:rFonts w:asciiTheme="minorHAnsi" w:hAnsiTheme="minorHAnsi" w:cstheme="minorHAnsi"/>
          <w:color w:val="auto"/>
          <w:sz w:val="22"/>
          <w:szCs w:val="22"/>
          <w:lang w:val="en-GB"/>
        </w:rPr>
      </w:pPr>
      <w:r w:rsidRPr="00EE34C4">
        <w:rPr>
          <w:rFonts w:asciiTheme="minorHAnsi" w:hAnsiTheme="minorHAnsi" w:cstheme="minorHAnsi"/>
          <w:color w:val="auto"/>
          <w:sz w:val="22"/>
          <w:szCs w:val="22"/>
          <w:lang w:val="en-GB"/>
        </w:rPr>
        <w:t>Develop and promote joint messages for regional and global fora related to migration, displacement and planned relocation in the context of disasters, climate change and environmental degradation, such as the Global Compact for Safe, Orderly and Regular Migration (GCM) regional and international reviews, the Conference of Parties to the United Nations Framework Convention on Climate Change (UNFCCC), the Africa-Arab Platform on Disaster Risk Reduction (DRR), and the World Water Forum.</w:t>
      </w:r>
    </w:p>
    <w:p w14:paraId="23DA163D" w14:textId="1EDAB32F" w:rsidR="00E854B6" w:rsidRPr="00EE34C4" w:rsidRDefault="00E854B6" w:rsidP="006970E4">
      <w:pPr>
        <w:pStyle w:val="Default"/>
        <w:numPr>
          <w:ilvl w:val="0"/>
          <w:numId w:val="7"/>
        </w:numPr>
        <w:spacing w:after="120"/>
        <w:jc w:val="both"/>
        <w:rPr>
          <w:rFonts w:asciiTheme="minorHAnsi" w:hAnsiTheme="minorHAnsi" w:cstheme="minorHAnsi"/>
          <w:color w:val="auto"/>
          <w:sz w:val="22"/>
          <w:szCs w:val="22"/>
          <w:lang w:val="en-GB"/>
        </w:rPr>
      </w:pPr>
      <w:r w:rsidRPr="00EE34C4">
        <w:rPr>
          <w:rFonts w:asciiTheme="minorHAnsi" w:hAnsiTheme="minorHAnsi" w:cstheme="minorHAnsi"/>
          <w:color w:val="auto"/>
          <w:sz w:val="22"/>
          <w:szCs w:val="22"/>
          <w:lang w:val="en-GB"/>
        </w:rPr>
        <w:t>Exchange good practices and lessons learned with representatives from other Inter-State Consultation Mechanisms on Migration, including Regional Consultative Processes on migration (RCPs), already addressing environmental migration and disaster displacement, for example, the Intergovernmental Authority on Development (IGAD) RCP, the Migration Dialogue for Southern Africa (MIDSA), the Regional Conference on Migration for Central and North America (RCM or Puebla Process), the South American Conference on Migration (SACM), and/or the Pacific Immigration Development Community (PIDC).</w:t>
      </w:r>
    </w:p>
    <w:p w14:paraId="677DBF52" w14:textId="2F0044A6" w:rsidR="00D13C13" w:rsidRPr="00EE34C4" w:rsidRDefault="00D13C13" w:rsidP="006970E4">
      <w:pPr>
        <w:pStyle w:val="Default"/>
        <w:numPr>
          <w:ilvl w:val="0"/>
          <w:numId w:val="7"/>
        </w:numPr>
        <w:spacing w:after="120"/>
        <w:jc w:val="both"/>
        <w:rPr>
          <w:rFonts w:asciiTheme="minorHAnsi" w:hAnsiTheme="minorHAnsi" w:cstheme="minorHAnsi"/>
          <w:color w:val="auto"/>
          <w:sz w:val="22"/>
          <w:szCs w:val="22"/>
          <w:lang w:val="en-GB"/>
        </w:rPr>
      </w:pPr>
      <w:r w:rsidRPr="00EE34C4">
        <w:rPr>
          <w:rFonts w:asciiTheme="minorHAnsi" w:hAnsiTheme="minorHAnsi" w:cstheme="minorHAnsi"/>
          <w:color w:val="auto"/>
          <w:sz w:val="22"/>
          <w:szCs w:val="22"/>
          <w:lang w:val="en-GB"/>
        </w:rPr>
        <w:lastRenderedPageBreak/>
        <w:t>Discuss other issues that are brought to the attention of the Working Group.</w:t>
      </w:r>
    </w:p>
    <w:p w14:paraId="5D4ECA10" w14:textId="77777777" w:rsidR="00484D7E" w:rsidRPr="00EE34C4" w:rsidRDefault="00484D7E" w:rsidP="006970E4">
      <w:pPr>
        <w:spacing w:after="120" w:line="240" w:lineRule="auto"/>
        <w:rPr>
          <w:rFonts w:cstheme="minorHAnsi"/>
        </w:rPr>
      </w:pPr>
    </w:p>
    <w:p w14:paraId="414E37C4" w14:textId="7F3CD6E0" w:rsidR="00484D7E" w:rsidRPr="00EE34C4" w:rsidRDefault="00484D7E" w:rsidP="006970E4">
      <w:pPr>
        <w:spacing w:after="120" w:line="240" w:lineRule="auto"/>
        <w:jc w:val="both"/>
        <w:rPr>
          <w:rFonts w:cstheme="minorHAnsi"/>
          <w:i/>
          <w:u w:val="single"/>
        </w:rPr>
      </w:pPr>
      <w:r w:rsidRPr="00EE34C4">
        <w:rPr>
          <w:rFonts w:cstheme="minorHAnsi"/>
          <w:i/>
          <w:u w:val="single"/>
        </w:rPr>
        <w:t xml:space="preserve">Chairmanship </w:t>
      </w:r>
      <w:r w:rsidR="00B8727C" w:rsidRPr="00EE34C4">
        <w:rPr>
          <w:rFonts w:cstheme="minorHAnsi"/>
          <w:i/>
          <w:u w:val="single"/>
        </w:rPr>
        <w:t>R</w:t>
      </w:r>
      <w:r w:rsidRPr="00EE34C4">
        <w:rPr>
          <w:rFonts w:cstheme="minorHAnsi"/>
          <w:i/>
          <w:u w:val="single"/>
        </w:rPr>
        <w:t>esponsibilities</w:t>
      </w:r>
    </w:p>
    <w:p w14:paraId="2B12D393" w14:textId="3E7D3C4C" w:rsidR="00484D7E" w:rsidRPr="00EE34C4" w:rsidRDefault="00484D7E" w:rsidP="006970E4">
      <w:pPr>
        <w:pStyle w:val="Default"/>
        <w:numPr>
          <w:ilvl w:val="0"/>
          <w:numId w:val="3"/>
        </w:numPr>
        <w:spacing w:after="120"/>
        <w:jc w:val="both"/>
        <w:rPr>
          <w:rFonts w:asciiTheme="minorHAnsi" w:hAnsiTheme="minorHAnsi" w:cstheme="minorHAnsi"/>
          <w:color w:val="auto"/>
          <w:sz w:val="22"/>
          <w:szCs w:val="22"/>
          <w:lang w:val="en-GB"/>
        </w:rPr>
      </w:pPr>
      <w:r w:rsidRPr="00EE34C4">
        <w:rPr>
          <w:rFonts w:asciiTheme="minorHAnsi" w:hAnsiTheme="minorHAnsi" w:cstheme="minorHAnsi"/>
          <w:color w:val="auto"/>
          <w:sz w:val="22"/>
          <w:szCs w:val="22"/>
          <w:lang w:val="en-GB"/>
        </w:rPr>
        <w:t>Identify locations and dates of the working group meetings in coordination with the MIDWA Secretariat</w:t>
      </w:r>
      <w:r w:rsidR="00B94967">
        <w:rPr>
          <w:rFonts w:asciiTheme="minorHAnsi" w:hAnsiTheme="minorHAnsi" w:cstheme="minorHAnsi"/>
          <w:color w:val="auto"/>
          <w:sz w:val="22"/>
          <w:szCs w:val="22"/>
          <w:lang w:val="en-GB"/>
        </w:rPr>
        <w:t xml:space="preserve"> and IOM</w:t>
      </w:r>
      <w:r w:rsidRPr="00EE34C4">
        <w:rPr>
          <w:rFonts w:asciiTheme="minorHAnsi" w:hAnsiTheme="minorHAnsi" w:cstheme="minorHAnsi"/>
          <w:color w:val="auto"/>
          <w:sz w:val="22"/>
          <w:szCs w:val="22"/>
          <w:lang w:val="en-GB"/>
        </w:rPr>
        <w:t>;</w:t>
      </w:r>
    </w:p>
    <w:p w14:paraId="0C4B7596" w14:textId="571F6661" w:rsidR="00484D7E" w:rsidRPr="00EE34C4" w:rsidRDefault="00484D7E" w:rsidP="006970E4">
      <w:pPr>
        <w:pStyle w:val="Default"/>
        <w:numPr>
          <w:ilvl w:val="0"/>
          <w:numId w:val="3"/>
        </w:numPr>
        <w:spacing w:after="120"/>
        <w:jc w:val="both"/>
        <w:rPr>
          <w:rFonts w:asciiTheme="minorHAnsi" w:hAnsiTheme="minorHAnsi" w:cstheme="minorHAnsi"/>
          <w:color w:val="auto"/>
          <w:sz w:val="22"/>
          <w:szCs w:val="22"/>
          <w:lang w:val="en-GB"/>
        </w:rPr>
      </w:pPr>
      <w:r w:rsidRPr="00EE34C4">
        <w:rPr>
          <w:rFonts w:asciiTheme="minorHAnsi" w:hAnsiTheme="minorHAnsi" w:cstheme="minorHAnsi"/>
          <w:color w:val="auto"/>
          <w:sz w:val="22"/>
          <w:szCs w:val="22"/>
          <w:lang w:val="en-GB"/>
        </w:rPr>
        <w:t>Set the topics to be addressed by the working group, prepare the agendas, invite the speakers in coordination with the MIDWA Secretariat</w:t>
      </w:r>
      <w:r w:rsidR="00B94967">
        <w:rPr>
          <w:rFonts w:asciiTheme="minorHAnsi" w:hAnsiTheme="minorHAnsi" w:cstheme="minorHAnsi"/>
          <w:color w:val="auto"/>
          <w:sz w:val="22"/>
          <w:szCs w:val="22"/>
          <w:lang w:val="en-GB"/>
        </w:rPr>
        <w:t xml:space="preserve"> and IOM</w:t>
      </w:r>
      <w:r w:rsidRPr="00EE34C4">
        <w:rPr>
          <w:rFonts w:asciiTheme="minorHAnsi" w:hAnsiTheme="minorHAnsi" w:cstheme="minorHAnsi"/>
          <w:color w:val="auto"/>
          <w:sz w:val="22"/>
          <w:szCs w:val="22"/>
          <w:lang w:val="en-GB"/>
        </w:rPr>
        <w:t>;</w:t>
      </w:r>
    </w:p>
    <w:p w14:paraId="45EAC466" w14:textId="77777777" w:rsidR="00484D7E" w:rsidRPr="00EE34C4" w:rsidRDefault="00484D7E" w:rsidP="006970E4">
      <w:pPr>
        <w:pStyle w:val="Default"/>
        <w:numPr>
          <w:ilvl w:val="0"/>
          <w:numId w:val="3"/>
        </w:numPr>
        <w:spacing w:after="120"/>
        <w:jc w:val="both"/>
        <w:rPr>
          <w:rFonts w:asciiTheme="minorHAnsi" w:hAnsiTheme="minorHAnsi" w:cstheme="minorHAnsi"/>
          <w:color w:val="auto"/>
          <w:sz w:val="22"/>
          <w:szCs w:val="22"/>
          <w:lang w:val="en-GB"/>
        </w:rPr>
      </w:pPr>
      <w:r w:rsidRPr="00EE34C4">
        <w:rPr>
          <w:rFonts w:asciiTheme="minorHAnsi" w:hAnsiTheme="minorHAnsi" w:cstheme="minorHAnsi"/>
          <w:color w:val="auto"/>
          <w:sz w:val="22"/>
          <w:szCs w:val="22"/>
          <w:lang w:val="en-GB"/>
        </w:rPr>
        <w:t>Inform the MIDWA Secretariat on regular basis on the progress made and on the obstacles encountered by the working group in carrying out the annual work plan;</w:t>
      </w:r>
    </w:p>
    <w:p w14:paraId="4C056139" w14:textId="612AA106" w:rsidR="00484D7E" w:rsidRPr="00EE34C4" w:rsidRDefault="00484D7E" w:rsidP="006970E4">
      <w:pPr>
        <w:pStyle w:val="Default"/>
        <w:numPr>
          <w:ilvl w:val="0"/>
          <w:numId w:val="3"/>
        </w:numPr>
        <w:spacing w:after="120"/>
        <w:jc w:val="both"/>
        <w:rPr>
          <w:rFonts w:asciiTheme="minorHAnsi" w:hAnsiTheme="minorHAnsi" w:cstheme="minorHAnsi"/>
          <w:color w:val="auto"/>
          <w:sz w:val="22"/>
          <w:szCs w:val="22"/>
          <w:lang w:val="en-GB"/>
        </w:rPr>
      </w:pPr>
      <w:r w:rsidRPr="00EE34C4">
        <w:rPr>
          <w:rFonts w:asciiTheme="minorHAnsi" w:hAnsiTheme="minorHAnsi" w:cstheme="minorHAnsi"/>
          <w:color w:val="auto"/>
          <w:sz w:val="22"/>
          <w:szCs w:val="22"/>
          <w:lang w:val="en-GB"/>
        </w:rPr>
        <w:t>Prepare reports on the working group meetings;</w:t>
      </w:r>
    </w:p>
    <w:p w14:paraId="7D0A95E5" w14:textId="023D20A9" w:rsidR="00484D7E" w:rsidRPr="00EE34C4" w:rsidRDefault="00484D7E" w:rsidP="006970E4">
      <w:pPr>
        <w:pStyle w:val="Default"/>
        <w:numPr>
          <w:ilvl w:val="0"/>
          <w:numId w:val="3"/>
        </w:numPr>
        <w:spacing w:after="120"/>
        <w:jc w:val="both"/>
        <w:rPr>
          <w:rFonts w:asciiTheme="minorHAnsi" w:hAnsiTheme="minorHAnsi" w:cstheme="minorHAnsi"/>
          <w:color w:val="auto"/>
          <w:sz w:val="22"/>
          <w:szCs w:val="22"/>
          <w:lang w:val="en-GB"/>
        </w:rPr>
      </w:pPr>
      <w:r w:rsidRPr="00EE34C4">
        <w:rPr>
          <w:rFonts w:asciiTheme="minorHAnsi" w:hAnsiTheme="minorHAnsi" w:cstheme="minorHAnsi"/>
          <w:color w:val="auto"/>
          <w:sz w:val="22"/>
          <w:szCs w:val="22"/>
          <w:lang w:val="en-GB"/>
        </w:rPr>
        <w:t>Prepare the annual report on the implementation of the work plan.</w:t>
      </w:r>
    </w:p>
    <w:p w14:paraId="7E1A9B8D" w14:textId="77777777" w:rsidR="00B1061A" w:rsidRPr="00EE34C4" w:rsidRDefault="00B1061A" w:rsidP="006970E4">
      <w:pPr>
        <w:pStyle w:val="Default"/>
        <w:spacing w:after="120"/>
        <w:jc w:val="both"/>
        <w:rPr>
          <w:rFonts w:asciiTheme="minorHAnsi" w:hAnsiTheme="minorHAnsi" w:cstheme="minorHAnsi"/>
          <w:color w:val="auto"/>
          <w:sz w:val="22"/>
          <w:szCs w:val="22"/>
          <w:lang w:val="en-GB"/>
        </w:rPr>
      </w:pPr>
    </w:p>
    <w:p w14:paraId="130104C0" w14:textId="77777777" w:rsidR="004F50AC" w:rsidRPr="00EE34C4" w:rsidRDefault="004F50AC" w:rsidP="006970E4">
      <w:pPr>
        <w:spacing w:after="120" w:line="240" w:lineRule="auto"/>
        <w:jc w:val="both"/>
        <w:rPr>
          <w:rFonts w:cstheme="minorHAnsi"/>
          <w:b/>
          <w:bCs/>
          <w:iCs/>
        </w:rPr>
      </w:pPr>
      <w:r w:rsidRPr="00EE34C4">
        <w:rPr>
          <w:rFonts w:cstheme="minorHAnsi"/>
          <w:b/>
          <w:bCs/>
          <w:iCs/>
        </w:rPr>
        <w:t>Chairmanship</w:t>
      </w:r>
    </w:p>
    <w:p w14:paraId="291FE74F" w14:textId="77777777" w:rsidR="004F50AC" w:rsidRPr="00EE34C4" w:rsidRDefault="004F50AC" w:rsidP="006970E4">
      <w:pPr>
        <w:spacing w:after="120" w:line="240" w:lineRule="auto"/>
        <w:jc w:val="both"/>
        <w:rPr>
          <w:rFonts w:cstheme="minorHAnsi"/>
        </w:rPr>
      </w:pPr>
      <w:r w:rsidRPr="00EE34C4">
        <w:rPr>
          <w:rFonts w:cstheme="minorHAnsi"/>
        </w:rPr>
        <w:t>Mandate: two years</w:t>
      </w:r>
    </w:p>
    <w:p w14:paraId="47F985F5" w14:textId="1DD8D25A" w:rsidR="004F50AC" w:rsidRPr="00EE34C4" w:rsidRDefault="004F50AC" w:rsidP="006970E4">
      <w:pPr>
        <w:spacing w:after="120" w:line="240" w:lineRule="auto"/>
        <w:jc w:val="both"/>
        <w:rPr>
          <w:rFonts w:cstheme="minorHAnsi"/>
        </w:rPr>
      </w:pPr>
      <w:r w:rsidRPr="00EE34C4">
        <w:rPr>
          <w:rFonts w:cstheme="minorHAnsi"/>
        </w:rPr>
        <w:t xml:space="preserve">Chairmanship of the working group: </w:t>
      </w:r>
      <w:r w:rsidR="001D2F5C">
        <w:rPr>
          <w:rFonts w:cstheme="minorHAnsi"/>
        </w:rPr>
        <w:t xml:space="preserve">one or </w:t>
      </w:r>
      <w:r w:rsidRPr="00EE34C4">
        <w:rPr>
          <w:rFonts w:cstheme="minorHAnsi"/>
        </w:rPr>
        <w:t>two Member States</w:t>
      </w:r>
    </w:p>
    <w:p w14:paraId="4A94F40D" w14:textId="77777777" w:rsidR="004F50AC" w:rsidRPr="00EE34C4" w:rsidRDefault="004F50AC" w:rsidP="006970E4">
      <w:pPr>
        <w:spacing w:after="120" w:line="240" w:lineRule="auto"/>
        <w:jc w:val="both"/>
        <w:rPr>
          <w:rFonts w:cstheme="minorHAnsi"/>
        </w:rPr>
      </w:pPr>
      <w:r w:rsidRPr="00EE34C4">
        <w:rPr>
          <w:rFonts w:cstheme="minorHAnsi"/>
        </w:rPr>
        <w:t>The Working Group will be co-chaired by rotation by representatives of two ECOWAS Member States. The maximum duration of a co-chair will be two years unless otherwise agreed by MIDWA Members. One of the co-chairs will be replaced each year to ensure the continuity of the activities.</w:t>
      </w:r>
    </w:p>
    <w:p w14:paraId="4F636DB7" w14:textId="77777777" w:rsidR="004F50AC" w:rsidRPr="00EE34C4" w:rsidRDefault="004F50AC" w:rsidP="006970E4">
      <w:pPr>
        <w:spacing w:after="120" w:line="240" w:lineRule="auto"/>
        <w:jc w:val="both"/>
        <w:rPr>
          <w:rFonts w:cstheme="minorHAnsi"/>
        </w:rPr>
      </w:pPr>
      <w:r w:rsidRPr="00EE34C4">
        <w:rPr>
          <w:rFonts w:cstheme="minorHAnsi"/>
        </w:rPr>
        <w:t>The positions of co-chairs will be voluntary. Group members will be invited to elect the position of Co-Chair annually or as required. The co-chairs will be appointed by the majority of the group (50% + 1) at the first meeting of the Group. A system of online resources and files will be put in place to ensure the continuity of and availability of the information.</w:t>
      </w:r>
    </w:p>
    <w:p w14:paraId="562C3778" w14:textId="77777777" w:rsidR="00B1061A" w:rsidRPr="00EE34C4" w:rsidRDefault="00B1061A" w:rsidP="006970E4">
      <w:pPr>
        <w:spacing w:after="120" w:line="240" w:lineRule="auto"/>
        <w:jc w:val="both"/>
        <w:rPr>
          <w:rFonts w:cstheme="minorHAnsi"/>
          <w:b/>
        </w:rPr>
      </w:pPr>
    </w:p>
    <w:p w14:paraId="3E7AA3F0" w14:textId="2E4CDFA3" w:rsidR="00484D7E" w:rsidRPr="00EE34C4" w:rsidRDefault="00484D7E" w:rsidP="006970E4">
      <w:pPr>
        <w:spacing w:after="120" w:line="240" w:lineRule="auto"/>
        <w:jc w:val="both"/>
        <w:rPr>
          <w:rFonts w:cstheme="minorHAnsi"/>
          <w:b/>
        </w:rPr>
      </w:pPr>
      <w:r w:rsidRPr="00EE34C4">
        <w:rPr>
          <w:rFonts w:cstheme="minorHAnsi"/>
          <w:b/>
        </w:rPr>
        <w:t>Members</w:t>
      </w:r>
    </w:p>
    <w:p w14:paraId="6DB085E6" w14:textId="6BF55494" w:rsidR="00484D7E" w:rsidRPr="00EE34C4" w:rsidRDefault="00484D7E" w:rsidP="006970E4">
      <w:pPr>
        <w:spacing w:after="120" w:line="240" w:lineRule="auto"/>
        <w:jc w:val="both"/>
        <w:rPr>
          <w:rFonts w:cstheme="minorHAnsi"/>
        </w:rPr>
      </w:pPr>
      <w:r w:rsidRPr="00EE34C4">
        <w:rPr>
          <w:rFonts w:cstheme="minorHAnsi"/>
        </w:rPr>
        <w:t>The working group will be composed by officials with active roles in immigration/migration management, disaster/emergency management, and/or environment/climate change.</w:t>
      </w:r>
    </w:p>
    <w:p w14:paraId="2FDF3123" w14:textId="3A5240CC" w:rsidR="00484D7E" w:rsidRPr="00EE34C4" w:rsidRDefault="00484D7E" w:rsidP="006970E4">
      <w:pPr>
        <w:spacing w:after="120" w:line="240" w:lineRule="auto"/>
        <w:jc w:val="both"/>
        <w:rPr>
          <w:rFonts w:cstheme="minorHAnsi"/>
        </w:rPr>
      </w:pPr>
      <w:r w:rsidRPr="00EE34C4">
        <w:rPr>
          <w:rFonts w:cstheme="minorHAnsi"/>
        </w:rPr>
        <w:t>The group will be composed by:</w:t>
      </w:r>
    </w:p>
    <w:p w14:paraId="206CE82E" w14:textId="106B5598" w:rsidR="00484D7E" w:rsidRPr="00EE34C4" w:rsidRDefault="00484D7E" w:rsidP="006970E4">
      <w:pPr>
        <w:pStyle w:val="ListParagraph"/>
        <w:numPr>
          <w:ilvl w:val="0"/>
          <w:numId w:val="4"/>
        </w:numPr>
        <w:spacing w:after="120" w:line="240" w:lineRule="auto"/>
        <w:contextualSpacing w:val="0"/>
        <w:jc w:val="both"/>
        <w:rPr>
          <w:rFonts w:cstheme="minorHAnsi"/>
        </w:rPr>
      </w:pPr>
      <w:r w:rsidRPr="00EE34C4">
        <w:rPr>
          <w:rFonts w:cstheme="minorHAnsi"/>
        </w:rPr>
        <w:t xml:space="preserve">one representative and one co-representative for each </w:t>
      </w:r>
      <w:r w:rsidR="00E5107A" w:rsidRPr="00EE34C4">
        <w:rPr>
          <w:rFonts w:cstheme="minorHAnsi"/>
        </w:rPr>
        <w:t>M</w:t>
      </w:r>
      <w:r w:rsidRPr="00EE34C4">
        <w:rPr>
          <w:rFonts w:cstheme="minorHAnsi"/>
        </w:rPr>
        <w:t xml:space="preserve">ember </w:t>
      </w:r>
      <w:r w:rsidR="00E5107A" w:rsidRPr="00EE34C4">
        <w:rPr>
          <w:rFonts w:cstheme="minorHAnsi"/>
        </w:rPr>
        <w:t>S</w:t>
      </w:r>
      <w:r w:rsidRPr="00EE34C4">
        <w:rPr>
          <w:rFonts w:cstheme="minorHAnsi"/>
        </w:rPr>
        <w:t>tate of ECOWAS for a total of 15 representatives and 15 co-representatives</w:t>
      </w:r>
      <w:r w:rsidR="00E00BED" w:rsidRPr="00EE34C4">
        <w:rPr>
          <w:rFonts w:cstheme="minorHAnsi"/>
        </w:rPr>
        <w:t>;</w:t>
      </w:r>
      <w:r w:rsidRPr="00EE34C4">
        <w:rPr>
          <w:rFonts w:cstheme="minorHAnsi"/>
          <w:vertAlign w:val="superscript"/>
        </w:rPr>
        <w:footnoteReference w:id="1"/>
      </w:r>
    </w:p>
    <w:p w14:paraId="0D13E5BC" w14:textId="77777777" w:rsidR="00484D7E" w:rsidRPr="00EE34C4" w:rsidRDefault="00484D7E" w:rsidP="006970E4">
      <w:pPr>
        <w:pStyle w:val="ListParagraph"/>
        <w:numPr>
          <w:ilvl w:val="0"/>
          <w:numId w:val="4"/>
        </w:numPr>
        <w:spacing w:after="120" w:line="240" w:lineRule="auto"/>
        <w:contextualSpacing w:val="0"/>
        <w:jc w:val="both"/>
        <w:rPr>
          <w:rFonts w:cstheme="minorHAnsi"/>
        </w:rPr>
      </w:pPr>
      <w:r w:rsidRPr="00EE34C4">
        <w:rPr>
          <w:rFonts w:cstheme="minorHAnsi"/>
        </w:rPr>
        <w:t>one representative and one co-representative from Mauritania;</w:t>
      </w:r>
    </w:p>
    <w:p w14:paraId="4F61198A" w14:textId="77777777" w:rsidR="00484D7E" w:rsidRPr="00EE34C4" w:rsidRDefault="00484D7E" w:rsidP="006970E4">
      <w:pPr>
        <w:pStyle w:val="ListParagraph"/>
        <w:numPr>
          <w:ilvl w:val="0"/>
          <w:numId w:val="4"/>
        </w:numPr>
        <w:spacing w:after="120" w:line="240" w:lineRule="auto"/>
        <w:contextualSpacing w:val="0"/>
        <w:jc w:val="both"/>
        <w:rPr>
          <w:rFonts w:cstheme="minorHAnsi"/>
        </w:rPr>
      </w:pPr>
      <w:r w:rsidRPr="00EE34C4">
        <w:rPr>
          <w:rFonts w:cstheme="minorHAnsi"/>
        </w:rPr>
        <w:t>a representative of the MIDWA Secretariat;</w:t>
      </w:r>
    </w:p>
    <w:p w14:paraId="5B1D9E78" w14:textId="5D059AB4" w:rsidR="00484D7E" w:rsidRDefault="00484D7E" w:rsidP="006970E4">
      <w:pPr>
        <w:pStyle w:val="ListParagraph"/>
        <w:numPr>
          <w:ilvl w:val="0"/>
          <w:numId w:val="4"/>
        </w:numPr>
        <w:spacing w:after="120" w:line="240" w:lineRule="auto"/>
        <w:contextualSpacing w:val="0"/>
        <w:jc w:val="both"/>
        <w:rPr>
          <w:rFonts w:cstheme="minorHAnsi"/>
        </w:rPr>
      </w:pPr>
      <w:r w:rsidRPr="00EE34C4">
        <w:rPr>
          <w:rFonts w:cstheme="minorHAnsi"/>
        </w:rPr>
        <w:t>a representative of the relevant ECOWAS Division;</w:t>
      </w:r>
    </w:p>
    <w:p w14:paraId="3B0CCF0C" w14:textId="7D73917E" w:rsidR="00DB405C" w:rsidRPr="00EE34C4" w:rsidRDefault="00DB405C" w:rsidP="006970E4">
      <w:pPr>
        <w:pStyle w:val="ListParagraph"/>
        <w:numPr>
          <w:ilvl w:val="0"/>
          <w:numId w:val="4"/>
        </w:numPr>
        <w:spacing w:after="120" w:line="240" w:lineRule="auto"/>
        <w:contextualSpacing w:val="0"/>
        <w:jc w:val="both"/>
        <w:rPr>
          <w:rFonts w:cstheme="minorHAnsi"/>
        </w:rPr>
      </w:pPr>
      <w:r>
        <w:rPr>
          <w:rFonts w:cstheme="minorHAnsi"/>
        </w:rPr>
        <w:t>a representative of IOM;</w:t>
      </w:r>
    </w:p>
    <w:p w14:paraId="1A554B8C" w14:textId="021E3C8D" w:rsidR="00484D7E" w:rsidRPr="00EE34C4" w:rsidRDefault="00484D7E" w:rsidP="006970E4">
      <w:pPr>
        <w:pStyle w:val="ListParagraph"/>
        <w:numPr>
          <w:ilvl w:val="0"/>
          <w:numId w:val="4"/>
        </w:numPr>
        <w:spacing w:after="120" w:line="240" w:lineRule="auto"/>
        <w:contextualSpacing w:val="0"/>
        <w:jc w:val="both"/>
        <w:rPr>
          <w:rFonts w:cstheme="minorHAnsi"/>
        </w:rPr>
      </w:pPr>
      <w:r w:rsidRPr="00EE34C4">
        <w:rPr>
          <w:rFonts w:cstheme="minorHAnsi"/>
        </w:rPr>
        <w:t xml:space="preserve">a representative of </w:t>
      </w:r>
      <w:r w:rsidR="00DB405C">
        <w:rPr>
          <w:rFonts w:cstheme="minorHAnsi"/>
        </w:rPr>
        <w:t>other</w:t>
      </w:r>
      <w:r w:rsidRPr="00EE34C4">
        <w:rPr>
          <w:rFonts w:cstheme="minorHAnsi"/>
        </w:rPr>
        <w:t xml:space="preserve"> technical and / or financial partners</w:t>
      </w:r>
      <w:r w:rsidR="00E00BED" w:rsidRPr="00EE34C4">
        <w:rPr>
          <w:rFonts w:cstheme="minorHAnsi"/>
        </w:rPr>
        <w:t>.</w:t>
      </w:r>
      <w:r w:rsidRPr="00EE34C4">
        <w:rPr>
          <w:rFonts w:cstheme="minorHAnsi"/>
          <w:vertAlign w:val="superscript"/>
        </w:rPr>
        <w:footnoteReference w:id="2"/>
      </w:r>
    </w:p>
    <w:p w14:paraId="553FE731" w14:textId="77777777" w:rsidR="00484D7E" w:rsidRPr="00EE34C4" w:rsidRDefault="00484D7E" w:rsidP="006970E4">
      <w:pPr>
        <w:spacing w:after="120" w:line="240" w:lineRule="auto"/>
        <w:jc w:val="both"/>
        <w:rPr>
          <w:rFonts w:cstheme="minorHAnsi"/>
        </w:rPr>
      </w:pPr>
    </w:p>
    <w:p w14:paraId="65DA785C" w14:textId="3EEC2E71" w:rsidR="00484D7E" w:rsidRPr="00EE34C4" w:rsidRDefault="00484D7E" w:rsidP="006970E4">
      <w:pPr>
        <w:spacing w:after="120" w:line="240" w:lineRule="auto"/>
        <w:jc w:val="both"/>
        <w:rPr>
          <w:rFonts w:cstheme="minorHAnsi"/>
          <w:b/>
        </w:rPr>
      </w:pPr>
      <w:r w:rsidRPr="00EE34C4">
        <w:rPr>
          <w:rFonts w:cstheme="minorHAnsi"/>
          <w:b/>
        </w:rPr>
        <w:t xml:space="preserve">Meeting </w:t>
      </w:r>
      <w:r w:rsidR="00D13C13" w:rsidRPr="00EE34C4">
        <w:rPr>
          <w:rFonts w:cstheme="minorHAnsi"/>
          <w:b/>
        </w:rPr>
        <w:t>M</w:t>
      </w:r>
      <w:r w:rsidRPr="00EE34C4">
        <w:rPr>
          <w:rFonts w:cstheme="minorHAnsi"/>
          <w:b/>
        </w:rPr>
        <w:t>odalities</w:t>
      </w:r>
    </w:p>
    <w:p w14:paraId="09485DA8" w14:textId="7EDE0234" w:rsidR="00484D7E" w:rsidRPr="00EE34C4" w:rsidRDefault="00484D7E" w:rsidP="006970E4">
      <w:pPr>
        <w:spacing w:after="120" w:line="240" w:lineRule="auto"/>
        <w:jc w:val="both"/>
        <w:rPr>
          <w:rFonts w:cstheme="minorHAnsi"/>
        </w:rPr>
      </w:pPr>
      <w:r w:rsidRPr="00EE34C4">
        <w:rPr>
          <w:rFonts w:cstheme="minorHAnsi"/>
        </w:rPr>
        <w:t>The working group will meet twice a year, or more if deemed necessary by the co-chairs of the working group, at dates and locations determined by the co-chairs in coordination with the MIDWA Secretariat.</w:t>
      </w:r>
    </w:p>
    <w:p w14:paraId="383DAFA7" w14:textId="3DA69D44" w:rsidR="00484D7E" w:rsidRPr="00EE34C4" w:rsidRDefault="00484D7E" w:rsidP="006970E4">
      <w:pPr>
        <w:spacing w:after="120" w:line="240" w:lineRule="auto"/>
        <w:jc w:val="both"/>
        <w:rPr>
          <w:rFonts w:cstheme="minorHAnsi"/>
        </w:rPr>
      </w:pPr>
      <w:r w:rsidRPr="00EE34C4">
        <w:rPr>
          <w:rFonts w:cstheme="minorHAnsi"/>
        </w:rPr>
        <w:t>The meetings of the Working Group will be organized by the co-chairs of the Working Group and supported administratively by the MIDWA Secretariat in consultation with the relevant ECOWAS Division</w:t>
      </w:r>
      <w:r w:rsidR="00A70FB3">
        <w:rPr>
          <w:rFonts w:cstheme="minorHAnsi"/>
        </w:rPr>
        <w:t xml:space="preserve"> and IOM</w:t>
      </w:r>
      <w:r w:rsidRPr="00EE34C4">
        <w:rPr>
          <w:rFonts w:cstheme="minorHAnsi"/>
        </w:rPr>
        <w:t>.</w:t>
      </w:r>
    </w:p>
    <w:p w14:paraId="3188674B" w14:textId="52B7CE0D" w:rsidR="00484D7E" w:rsidRPr="00EE34C4" w:rsidRDefault="00484D7E" w:rsidP="006970E4">
      <w:pPr>
        <w:spacing w:after="120" w:line="240" w:lineRule="auto"/>
        <w:jc w:val="both"/>
        <w:rPr>
          <w:rFonts w:cstheme="minorHAnsi"/>
        </w:rPr>
      </w:pPr>
      <w:r w:rsidRPr="00EE34C4">
        <w:rPr>
          <w:rFonts w:cstheme="minorHAnsi"/>
        </w:rPr>
        <w:t xml:space="preserve">The objective of the first meeting of the working group will be to identify priorities, validate the group's own terms of reference and </w:t>
      </w:r>
      <w:r w:rsidR="006A486B">
        <w:rPr>
          <w:rFonts w:cstheme="minorHAnsi"/>
        </w:rPr>
        <w:t>draft</w:t>
      </w:r>
      <w:r w:rsidRPr="00EE34C4">
        <w:rPr>
          <w:rFonts w:cstheme="minorHAnsi"/>
        </w:rPr>
        <w:t xml:space="preserve"> an annual work plan.</w:t>
      </w:r>
    </w:p>
    <w:p w14:paraId="58EF88FA" w14:textId="77777777" w:rsidR="00484D7E" w:rsidRPr="00EE34C4" w:rsidRDefault="00484D7E" w:rsidP="006970E4">
      <w:pPr>
        <w:spacing w:after="120" w:line="240" w:lineRule="auto"/>
        <w:jc w:val="both"/>
        <w:rPr>
          <w:rFonts w:cstheme="minorHAnsi"/>
          <w:b/>
        </w:rPr>
      </w:pPr>
    </w:p>
    <w:p w14:paraId="7866CBC3" w14:textId="77956851" w:rsidR="00484D7E" w:rsidRPr="00EE34C4" w:rsidRDefault="00484D7E" w:rsidP="006970E4">
      <w:pPr>
        <w:spacing w:after="120" w:line="240" w:lineRule="auto"/>
        <w:jc w:val="both"/>
        <w:rPr>
          <w:rFonts w:cstheme="minorHAnsi"/>
          <w:b/>
        </w:rPr>
      </w:pPr>
      <w:r w:rsidRPr="00EE34C4">
        <w:rPr>
          <w:rFonts w:cstheme="minorHAnsi"/>
          <w:b/>
        </w:rPr>
        <w:t xml:space="preserve">Coordination </w:t>
      </w:r>
      <w:r w:rsidR="00D13C13" w:rsidRPr="00EE34C4">
        <w:rPr>
          <w:rFonts w:cstheme="minorHAnsi"/>
          <w:b/>
        </w:rPr>
        <w:t>M</w:t>
      </w:r>
      <w:r w:rsidRPr="00EE34C4">
        <w:rPr>
          <w:rFonts w:cstheme="minorHAnsi"/>
          <w:b/>
        </w:rPr>
        <w:t>odalities</w:t>
      </w:r>
    </w:p>
    <w:p w14:paraId="1AA3FC17" w14:textId="77777777" w:rsidR="00484D7E" w:rsidRPr="00EE34C4" w:rsidRDefault="00484D7E" w:rsidP="006970E4">
      <w:pPr>
        <w:spacing w:after="120" w:line="240" w:lineRule="auto"/>
        <w:jc w:val="both"/>
        <w:rPr>
          <w:rFonts w:cstheme="minorHAnsi"/>
        </w:rPr>
      </w:pPr>
      <w:r w:rsidRPr="00EE34C4">
        <w:rPr>
          <w:rFonts w:cstheme="minorHAnsi"/>
        </w:rPr>
        <w:t>The Working Group will work in synergy with the other MIDWA working groups, under the general coordination of the MIDWA Secretariat and the political impetus of ECOWAS.</w:t>
      </w:r>
    </w:p>
    <w:p w14:paraId="200AC8C3" w14:textId="0BFD8FE5" w:rsidR="00484D7E" w:rsidRPr="00EE34C4" w:rsidRDefault="00484D7E" w:rsidP="006970E4">
      <w:pPr>
        <w:spacing w:after="120" w:line="240" w:lineRule="auto"/>
        <w:jc w:val="both"/>
        <w:rPr>
          <w:rFonts w:cstheme="minorHAnsi"/>
        </w:rPr>
      </w:pPr>
      <w:r w:rsidRPr="00EE34C4">
        <w:rPr>
          <w:rFonts w:cstheme="minorHAnsi"/>
        </w:rPr>
        <w:t>The Working Group will produce an annual report on the activities implemented by the group and reports of the meetings.</w:t>
      </w:r>
    </w:p>
    <w:p w14:paraId="58C4A27A" w14:textId="0D690648" w:rsidR="00484D7E" w:rsidRPr="00EE34C4" w:rsidRDefault="00484D7E" w:rsidP="006970E4">
      <w:pPr>
        <w:spacing w:after="120" w:line="240" w:lineRule="auto"/>
        <w:jc w:val="both"/>
        <w:rPr>
          <w:rFonts w:cstheme="minorHAnsi"/>
        </w:rPr>
      </w:pPr>
      <w:r w:rsidRPr="00EE34C4">
        <w:rPr>
          <w:rFonts w:cstheme="minorHAnsi"/>
        </w:rPr>
        <w:t>The Working Group will share any information that may affect or influence the work of other working groups and will contribute to providing harmonized and coordinated responses with other working groups under the overall coordination of the MIDWA Secretariat.</w:t>
      </w:r>
    </w:p>
    <w:p w14:paraId="0A9A00A9" w14:textId="77777777" w:rsidR="00484D7E" w:rsidRPr="00EE34C4" w:rsidRDefault="00484D7E" w:rsidP="006970E4">
      <w:pPr>
        <w:spacing w:after="120" w:line="240" w:lineRule="auto"/>
        <w:jc w:val="both"/>
        <w:rPr>
          <w:rFonts w:cstheme="minorHAnsi"/>
          <w:b/>
        </w:rPr>
      </w:pPr>
    </w:p>
    <w:p w14:paraId="5117FACE" w14:textId="7789BCED" w:rsidR="00484D7E" w:rsidRPr="00EE34C4" w:rsidRDefault="00484D7E" w:rsidP="006970E4">
      <w:pPr>
        <w:spacing w:after="120" w:line="240" w:lineRule="auto"/>
        <w:jc w:val="both"/>
        <w:rPr>
          <w:rFonts w:cstheme="minorHAnsi"/>
          <w:b/>
        </w:rPr>
      </w:pPr>
      <w:r w:rsidRPr="00EE34C4">
        <w:rPr>
          <w:rFonts w:cstheme="minorHAnsi"/>
          <w:b/>
        </w:rPr>
        <w:t xml:space="preserve">Funding </w:t>
      </w:r>
      <w:r w:rsidR="00D13C13" w:rsidRPr="00EE34C4">
        <w:rPr>
          <w:rFonts w:cstheme="minorHAnsi"/>
          <w:b/>
        </w:rPr>
        <w:t>M</w:t>
      </w:r>
      <w:r w:rsidRPr="00EE34C4">
        <w:rPr>
          <w:rFonts w:cstheme="minorHAnsi"/>
          <w:b/>
        </w:rPr>
        <w:t>odalities</w:t>
      </w:r>
    </w:p>
    <w:p w14:paraId="5FDCFC91" w14:textId="7A21C73B" w:rsidR="00484D7E" w:rsidRPr="00EE34C4" w:rsidRDefault="00484D7E" w:rsidP="006970E4">
      <w:pPr>
        <w:spacing w:after="120" w:line="240" w:lineRule="auto"/>
        <w:jc w:val="both"/>
        <w:rPr>
          <w:rFonts w:cstheme="minorHAnsi"/>
        </w:rPr>
      </w:pPr>
      <w:r w:rsidRPr="00EE34C4">
        <w:rPr>
          <w:rFonts w:cstheme="minorHAnsi"/>
        </w:rPr>
        <w:t>The working group will receive the following contributions:</w:t>
      </w:r>
    </w:p>
    <w:p w14:paraId="3BD22550" w14:textId="77777777" w:rsidR="00484D7E" w:rsidRPr="00EE34C4" w:rsidRDefault="00484D7E" w:rsidP="006970E4">
      <w:pPr>
        <w:pStyle w:val="ListParagraph"/>
        <w:numPr>
          <w:ilvl w:val="0"/>
          <w:numId w:val="5"/>
        </w:numPr>
        <w:spacing w:after="120" w:line="240" w:lineRule="auto"/>
        <w:contextualSpacing w:val="0"/>
        <w:jc w:val="both"/>
        <w:rPr>
          <w:rFonts w:cstheme="minorHAnsi"/>
        </w:rPr>
      </w:pPr>
      <w:r w:rsidRPr="00EE34C4">
        <w:rPr>
          <w:rFonts w:cstheme="minorHAnsi"/>
        </w:rPr>
        <w:t>ECOWAS: administrative support and general coordination;</w:t>
      </w:r>
    </w:p>
    <w:p w14:paraId="07EE315A" w14:textId="77777777" w:rsidR="00484D7E" w:rsidRPr="00EE34C4" w:rsidRDefault="00484D7E" w:rsidP="006970E4">
      <w:pPr>
        <w:pStyle w:val="ListParagraph"/>
        <w:numPr>
          <w:ilvl w:val="0"/>
          <w:numId w:val="5"/>
        </w:numPr>
        <w:spacing w:after="120" w:line="240" w:lineRule="auto"/>
        <w:contextualSpacing w:val="0"/>
        <w:jc w:val="both"/>
        <w:rPr>
          <w:rFonts w:cstheme="minorHAnsi"/>
        </w:rPr>
      </w:pPr>
      <w:r w:rsidRPr="00EE34C4">
        <w:rPr>
          <w:rFonts w:cstheme="minorHAnsi"/>
        </w:rPr>
        <w:t>Member States: provision of an expert (employed by the Member State) and a meeting room when the meetings are held in their respective countries;</w:t>
      </w:r>
    </w:p>
    <w:p w14:paraId="57E80184" w14:textId="173CFCEA" w:rsidR="00484D7E" w:rsidRPr="00EE34C4" w:rsidRDefault="006970E4" w:rsidP="006970E4">
      <w:pPr>
        <w:pStyle w:val="ListParagraph"/>
        <w:numPr>
          <w:ilvl w:val="0"/>
          <w:numId w:val="5"/>
        </w:numPr>
        <w:spacing w:after="120" w:line="240" w:lineRule="auto"/>
        <w:contextualSpacing w:val="0"/>
        <w:jc w:val="both"/>
        <w:rPr>
          <w:rFonts w:cstheme="minorHAnsi"/>
        </w:rPr>
      </w:pPr>
      <w:r>
        <w:rPr>
          <w:rFonts w:cstheme="minorHAnsi"/>
        </w:rPr>
        <w:t>IOM and partners</w:t>
      </w:r>
      <w:r w:rsidR="00484D7E" w:rsidRPr="00EE34C4">
        <w:rPr>
          <w:rFonts w:cstheme="minorHAnsi"/>
        </w:rPr>
        <w:t>: participation of experts / technical support and financial support for the organization of meetings</w:t>
      </w:r>
      <w:r w:rsidR="00D13C13" w:rsidRPr="00EE34C4">
        <w:rPr>
          <w:rFonts w:cstheme="minorHAnsi"/>
        </w:rPr>
        <w:t>.</w:t>
      </w:r>
      <w:r w:rsidR="00484D7E" w:rsidRPr="00EE34C4">
        <w:rPr>
          <w:rFonts w:cstheme="minorHAnsi"/>
          <w:vertAlign w:val="superscript"/>
        </w:rPr>
        <w:footnoteReference w:id="3"/>
      </w:r>
    </w:p>
    <w:p w14:paraId="0D0F951C" w14:textId="77777777" w:rsidR="00484D7E" w:rsidRPr="00EE34C4" w:rsidRDefault="00484D7E" w:rsidP="006970E4">
      <w:pPr>
        <w:spacing w:after="120" w:line="240" w:lineRule="auto"/>
        <w:jc w:val="both"/>
        <w:rPr>
          <w:rFonts w:cstheme="minorHAnsi"/>
        </w:rPr>
      </w:pPr>
    </w:p>
    <w:sectPr w:rsidR="00484D7E" w:rsidRPr="00EE34C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4F24E1" w14:textId="77777777" w:rsidR="008678F4" w:rsidRDefault="008678F4" w:rsidP="00484D7E">
      <w:pPr>
        <w:spacing w:after="0" w:line="240" w:lineRule="auto"/>
      </w:pPr>
      <w:r>
        <w:separator/>
      </w:r>
    </w:p>
  </w:endnote>
  <w:endnote w:type="continuationSeparator" w:id="0">
    <w:p w14:paraId="2F10DCA4" w14:textId="77777777" w:rsidR="008678F4" w:rsidRDefault="008678F4" w:rsidP="00484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7681225"/>
      <w:docPartObj>
        <w:docPartGallery w:val="Page Numbers (Bottom of Page)"/>
        <w:docPartUnique/>
      </w:docPartObj>
    </w:sdtPr>
    <w:sdtEndPr>
      <w:rPr>
        <w:noProof/>
      </w:rPr>
    </w:sdtEndPr>
    <w:sdtContent>
      <w:p w14:paraId="2B2EF2EC" w14:textId="41A1BE39" w:rsidR="004F50AC" w:rsidRDefault="004F50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3A484FB" w14:textId="77777777" w:rsidR="004F50AC" w:rsidRDefault="004F50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596413" w14:textId="77777777" w:rsidR="008678F4" w:rsidRDefault="008678F4" w:rsidP="00484D7E">
      <w:pPr>
        <w:spacing w:after="0" w:line="240" w:lineRule="auto"/>
      </w:pPr>
      <w:r>
        <w:separator/>
      </w:r>
    </w:p>
  </w:footnote>
  <w:footnote w:type="continuationSeparator" w:id="0">
    <w:p w14:paraId="1CF1D8EB" w14:textId="77777777" w:rsidR="008678F4" w:rsidRDefault="008678F4" w:rsidP="00484D7E">
      <w:pPr>
        <w:spacing w:after="0" w:line="240" w:lineRule="auto"/>
      </w:pPr>
      <w:r>
        <w:continuationSeparator/>
      </w:r>
    </w:p>
  </w:footnote>
  <w:footnote w:id="1">
    <w:p w14:paraId="7A8F0B27" w14:textId="77777777" w:rsidR="00484D7E" w:rsidRPr="00601F3F" w:rsidRDefault="00484D7E" w:rsidP="00484D7E">
      <w:pPr>
        <w:pStyle w:val="FootnoteText"/>
        <w:rPr>
          <w:sz w:val="18"/>
          <w:szCs w:val="18"/>
          <w:lang w:val="en-GB"/>
        </w:rPr>
      </w:pPr>
      <w:r w:rsidRPr="00601F3F">
        <w:rPr>
          <w:rStyle w:val="FootnoteReference"/>
          <w:sz w:val="18"/>
          <w:szCs w:val="18"/>
        </w:rPr>
        <w:footnoteRef/>
      </w:r>
      <w:r w:rsidRPr="00601F3F">
        <w:rPr>
          <w:sz w:val="18"/>
          <w:szCs w:val="18"/>
          <w:lang w:val="en-GB"/>
        </w:rPr>
        <w:t xml:space="preserve">   The co-representative participates to the meetings only in case the main representative is unavailable.</w:t>
      </w:r>
    </w:p>
  </w:footnote>
  <w:footnote w:id="2">
    <w:p w14:paraId="5CABCE14" w14:textId="77777777" w:rsidR="00484D7E" w:rsidRPr="00601F3F" w:rsidRDefault="00484D7E" w:rsidP="00484D7E">
      <w:pPr>
        <w:pStyle w:val="FootnoteText"/>
        <w:rPr>
          <w:sz w:val="18"/>
          <w:szCs w:val="18"/>
          <w:lang w:val="en-GB"/>
        </w:rPr>
      </w:pPr>
      <w:r w:rsidRPr="00601F3F">
        <w:rPr>
          <w:rStyle w:val="FootnoteReference"/>
          <w:sz w:val="18"/>
          <w:szCs w:val="18"/>
        </w:rPr>
        <w:footnoteRef/>
      </w:r>
      <w:r w:rsidRPr="00601F3F">
        <w:rPr>
          <w:sz w:val="18"/>
          <w:szCs w:val="18"/>
          <w:lang w:val="en-GB"/>
        </w:rPr>
        <w:t xml:space="preserve">   The number of technical and / or financial partners may vary from group to group, but should not exceed two.</w:t>
      </w:r>
    </w:p>
  </w:footnote>
  <w:footnote w:id="3">
    <w:p w14:paraId="460DB94B" w14:textId="77777777" w:rsidR="00484D7E" w:rsidRPr="00853542" w:rsidRDefault="00484D7E" w:rsidP="00484D7E">
      <w:pPr>
        <w:pStyle w:val="FootnoteText"/>
        <w:jc w:val="both"/>
        <w:rPr>
          <w:sz w:val="18"/>
          <w:szCs w:val="18"/>
          <w:lang w:val="en-GB"/>
        </w:rPr>
      </w:pPr>
      <w:r w:rsidRPr="00853542">
        <w:rPr>
          <w:rStyle w:val="FootnoteReference"/>
          <w:sz w:val="18"/>
          <w:szCs w:val="18"/>
        </w:rPr>
        <w:footnoteRef/>
      </w:r>
      <w:r w:rsidRPr="00853542">
        <w:rPr>
          <w:sz w:val="18"/>
          <w:szCs w:val="18"/>
          <w:lang w:val="en-GB"/>
        </w:rPr>
        <w:t xml:space="preserve"> Taking into account that the technical and financial support of international partners depends on the availability of funds, the members of the group are </w:t>
      </w:r>
      <w:r>
        <w:rPr>
          <w:sz w:val="18"/>
          <w:szCs w:val="18"/>
          <w:lang w:val="en-GB"/>
        </w:rPr>
        <w:t>requested</w:t>
      </w:r>
      <w:r w:rsidRPr="00853542">
        <w:rPr>
          <w:sz w:val="18"/>
          <w:szCs w:val="18"/>
          <w:lang w:val="en-GB"/>
        </w:rPr>
        <w:t xml:space="preserve"> to contribute to the mobilization of funds in order to guarantee the continuity of the work.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96E63" w14:textId="5B0C7121" w:rsidR="00953422" w:rsidRDefault="00953422">
    <w:pPr>
      <w:pStyle w:val="Header"/>
    </w:pPr>
    <w:r w:rsidRPr="00953422">
      <w:drawing>
        <wp:anchor distT="0" distB="0" distL="114300" distR="114300" simplePos="0" relativeHeight="251659264" behindDoc="0" locked="0" layoutInCell="1" allowOverlap="1" wp14:anchorId="54D7F185" wp14:editId="5C294A99">
          <wp:simplePos x="0" y="0"/>
          <wp:positionH relativeFrom="margin">
            <wp:posOffset>3205066</wp:posOffset>
          </wp:positionH>
          <wp:positionV relativeFrom="topMargin">
            <wp:posOffset>85560</wp:posOffset>
          </wp:positionV>
          <wp:extent cx="1527810" cy="769620"/>
          <wp:effectExtent l="0" t="0" r="0" b="0"/>
          <wp:wrapNone/>
          <wp:docPr id="8" name="Imagen 8"/>
          <wp:cNvGraphicFramePr/>
          <a:graphic xmlns:a="http://schemas.openxmlformats.org/drawingml/2006/main">
            <a:graphicData uri="http://schemas.openxmlformats.org/drawingml/2006/picture">
              <pic:pic xmlns:pic="http://schemas.openxmlformats.org/drawingml/2006/picture">
                <pic:nvPicPr>
                  <pic:cNvPr id="8" name="Imagen 8"/>
                  <pic:cNvPicPr/>
                </pic:nvPicPr>
                <pic:blipFill>
                  <a:blip r:embed="rId1">
                    <a:extLst>
                      <a:ext uri="{28A0092B-C50C-407E-A947-70E740481C1C}">
                        <a14:useLocalDpi xmlns:a14="http://schemas.microsoft.com/office/drawing/2010/main" val="0"/>
                      </a:ext>
                    </a:extLst>
                  </a:blip>
                  <a:stretch>
                    <a:fillRect/>
                  </a:stretch>
                </pic:blipFill>
                <pic:spPr>
                  <a:xfrm>
                    <a:off x="0" y="0"/>
                    <a:ext cx="1527810" cy="769620"/>
                  </a:xfrm>
                  <a:prstGeom prst="rect">
                    <a:avLst/>
                  </a:prstGeom>
                </pic:spPr>
              </pic:pic>
            </a:graphicData>
          </a:graphic>
        </wp:anchor>
      </w:drawing>
    </w:r>
    <w:r w:rsidRPr="00953422">
      <w:drawing>
        <wp:anchor distT="0" distB="0" distL="114300" distR="114300" simplePos="0" relativeHeight="251660288" behindDoc="1" locked="0" layoutInCell="1" allowOverlap="1" wp14:anchorId="2F5AF7BA" wp14:editId="596DC44A">
          <wp:simplePos x="0" y="0"/>
          <wp:positionH relativeFrom="margin">
            <wp:posOffset>1489489</wp:posOffset>
          </wp:positionH>
          <wp:positionV relativeFrom="paragraph">
            <wp:posOffset>-359410</wp:posOffset>
          </wp:positionV>
          <wp:extent cx="719455" cy="719455"/>
          <wp:effectExtent l="0" t="0" r="4445" b="4445"/>
          <wp:wrapTight wrapText="bothSides">
            <wp:wrapPolygon edited="0">
              <wp:start x="0" y="0"/>
              <wp:lineTo x="0" y="21162"/>
              <wp:lineTo x="21162" y="21162"/>
              <wp:lineTo x="21162" y="0"/>
              <wp:lineTo x="0" y="0"/>
            </wp:wrapPolygon>
          </wp:wrapTight>
          <wp:docPr id="7" name="Picture 7" descr="ecowas logo - ECD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cowas logo - ECDP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862BBA"/>
    <w:multiLevelType w:val="hybridMultilevel"/>
    <w:tmpl w:val="56F20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B57B38"/>
    <w:multiLevelType w:val="hybridMultilevel"/>
    <w:tmpl w:val="88824F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70616AF"/>
    <w:multiLevelType w:val="hybridMultilevel"/>
    <w:tmpl w:val="F6B66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B951473"/>
    <w:multiLevelType w:val="hybridMultilevel"/>
    <w:tmpl w:val="B61CE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501474"/>
    <w:multiLevelType w:val="hybridMultilevel"/>
    <w:tmpl w:val="C0AC0A7E"/>
    <w:lvl w:ilvl="0" w:tplc="0809000F">
      <w:start w:val="1"/>
      <w:numFmt w:val="decimal"/>
      <w:lvlText w:val="%1."/>
      <w:lvlJc w:val="left"/>
      <w:pPr>
        <w:ind w:left="720" w:hanging="360"/>
      </w:pPr>
      <w:rPr>
        <w:rFonts w:hint="default"/>
      </w:rPr>
    </w:lvl>
    <w:lvl w:ilvl="1" w:tplc="C3AE77EA">
      <w:start w:val="4"/>
      <w:numFmt w:val="bullet"/>
      <w:lvlText w:val="-"/>
      <w:lvlJc w:val="left"/>
      <w:pPr>
        <w:ind w:left="360" w:hanging="360"/>
      </w:pPr>
      <w:rPr>
        <w:rFonts w:ascii="Calibri" w:eastAsiaTheme="minorHAnsi" w:hAnsi="Calibri" w:cstheme="minorBid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ED109E3"/>
    <w:multiLevelType w:val="hybridMultilevel"/>
    <w:tmpl w:val="1DD03708"/>
    <w:lvl w:ilvl="0" w:tplc="0809000F">
      <w:start w:val="1"/>
      <w:numFmt w:val="decimal"/>
      <w:lvlText w:val="%1."/>
      <w:lvlJc w:val="left"/>
      <w:pPr>
        <w:ind w:left="720" w:hanging="360"/>
      </w:pPr>
      <w:rPr>
        <w:rFonts w:hint="default"/>
      </w:rPr>
    </w:lvl>
    <w:lvl w:ilvl="1" w:tplc="AB822890">
      <w:start w:val="4"/>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9C24E21"/>
    <w:multiLevelType w:val="hybridMultilevel"/>
    <w:tmpl w:val="C0AC0A7E"/>
    <w:lvl w:ilvl="0" w:tplc="0809000F">
      <w:start w:val="1"/>
      <w:numFmt w:val="decimal"/>
      <w:lvlText w:val="%1."/>
      <w:lvlJc w:val="left"/>
      <w:pPr>
        <w:ind w:left="720" w:hanging="360"/>
      </w:pPr>
      <w:rPr>
        <w:rFonts w:hint="default"/>
      </w:rPr>
    </w:lvl>
    <w:lvl w:ilvl="1" w:tplc="C3AE77EA">
      <w:start w:val="4"/>
      <w:numFmt w:val="bullet"/>
      <w:lvlText w:val="-"/>
      <w:lvlJc w:val="left"/>
      <w:pPr>
        <w:ind w:left="360" w:hanging="360"/>
      </w:pPr>
      <w:rPr>
        <w:rFonts w:ascii="Calibri" w:eastAsiaTheme="minorHAnsi" w:hAnsi="Calibri" w:cstheme="minorBid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2"/>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D7E"/>
    <w:rsid w:val="000710B5"/>
    <w:rsid w:val="000C6907"/>
    <w:rsid w:val="001C55BC"/>
    <w:rsid w:val="001D2F5C"/>
    <w:rsid w:val="001F47AB"/>
    <w:rsid w:val="002D3837"/>
    <w:rsid w:val="00484D7E"/>
    <w:rsid w:val="004C3193"/>
    <w:rsid w:val="004C48F2"/>
    <w:rsid w:val="004E54BA"/>
    <w:rsid w:val="004F50AC"/>
    <w:rsid w:val="005251D4"/>
    <w:rsid w:val="00540408"/>
    <w:rsid w:val="005A525A"/>
    <w:rsid w:val="005E0D79"/>
    <w:rsid w:val="006050D1"/>
    <w:rsid w:val="00662AB6"/>
    <w:rsid w:val="006970E4"/>
    <w:rsid w:val="006A486B"/>
    <w:rsid w:val="006C6B15"/>
    <w:rsid w:val="00731696"/>
    <w:rsid w:val="00817939"/>
    <w:rsid w:val="008355DD"/>
    <w:rsid w:val="008678F4"/>
    <w:rsid w:val="00952AF0"/>
    <w:rsid w:val="00953422"/>
    <w:rsid w:val="009C6C28"/>
    <w:rsid w:val="00A01D93"/>
    <w:rsid w:val="00A70FB3"/>
    <w:rsid w:val="00AC7A99"/>
    <w:rsid w:val="00B1061A"/>
    <w:rsid w:val="00B8727C"/>
    <w:rsid w:val="00B94967"/>
    <w:rsid w:val="00BE34A0"/>
    <w:rsid w:val="00C45043"/>
    <w:rsid w:val="00D13C13"/>
    <w:rsid w:val="00DB405C"/>
    <w:rsid w:val="00E00BED"/>
    <w:rsid w:val="00E5107A"/>
    <w:rsid w:val="00E854B6"/>
    <w:rsid w:val="00EE34C4"/>
    <w:rsid w:val="00EF252C"/>
    <w:rsid w:val="00FE6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C1B5C"/>
  <w15:chartTrackingRefBased/>
  <w15:docId w15:val="{5D4F9A1C-32B8-4A7A-857B-4DF6C6BEA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D7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84D7E"/>
    <w:pPr>
      <w:spacing w:after="0" w:line="240" w:lineRule="auto"/>
    </w:pPr>
    <w:rPr>
      <w:noProof/>
      <w:sz w:val="20"/>
      <w:szCs w:val="20"/>
      <w:lang w:val="fr-CH"/>
    </w:rPr>
  </w:style>
  <w:style w:type="character" w:customStyle="1" w:styleId="FootnoteTextChar">
    <w:name w:val="Footnote Text Char"/>
    <w:basedOn w:val="DefaultParagraphFont"/>
    <w:link w:val="FootnoteText"/>
    <w:uiPriority w:val="99"/>
    <w:semiHidden/>
    <w:rsid w:val="00484D7E"/>
    <w:rPr>
      <w:noProof/>
      <w:sz w:val="20"/>
      <w:szCs w:val="20"/>
      <w:lang w:val="fr-CH"/>
    </w:rPr>
  </w:style>
  <w:style w:type="character" w:styleId="FootnoteReference">
    <w:name w:val="footnote reference"/>
    <w:basedOn w:val="DefaultParagraphFont"/>
    <w:uiPriority w:val="99"/>
    <w:semiHidden/>
    <w:unhideWhenUsed/>
    <w:rsid w:val="00484D7E"/>
    <w:rPr>
      <w:vertAlign w:val="superscript"/>
    </w:rPr>
  </w:style>
  <w:style w:type="paragraph" w:customStyle="1" w:styleId="Default">
    <w:name w:val="Default"/>
    <w:rsid w:val="00484D7E"/>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D13C13"/>
    <w:pPr>
      <w:ind w:left="720"/>
      <w:contextualSpacing/>
    </w:pPr>
  </w:style>
  <w:style w:type="paragraph" w:styleId="Header">
    <w:name w:val="header"/>
    <w:basedOn w:val="Normal"/>
    <w:link w:val="HeaderChar"/>
    <w:uiPriority w:val="99"/>
    <w:unhideWhenUsed/>
    <w:rsid w:val="004F50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50AC"/>
    <w:rPr>
      <w:lang w:val="en-GB"/>
    </w:rPr>
  </w:style>
  <w:style w:type="paragraph" w:styleId="Footer">
    <w:name w:val="footer"/>
    <w:basedOn w:val="Normal"/>
    <w:link w:val="FooterChar"/>
    <w:uiPriority w:val="99"/>
    <w:unhideWhenUsed/>
    <w:rsid w:val="004F50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50AC"/>
    <w:rPr>
      <w:lang w:val="en-GB"/>
    </w:rPr>
  </w:style>
  <w:style w:type="character" w:styleId="CommentReference">
    <w:name w:val="annotation reference"/>
    <w:basedOn w:val="DefaultParagraphFont"/>
    <w:uiPriority w:val="99"/>
    <w:semiHidden/>
    <w:unhideWhenUsed/>
    <w:rsid w:val="005E0D79"/>
    <w:rPr>
      <w:sz w:val="16"/>
      <w:szCs w:val="16"/>
    </w:rPr>
  </w:style>
  <w:style w:type="paragraph" w:styleId="CommentText">
    <w:name w:val="annotation text"/>
    <w:basedOn w:val="Normal"/>
    <w:link w:val="CommentTextChar"/>
    <w:uiPriority w:val="99"/>
    <w:semiHidden/>
    <w:unhideWhenUsed/>
    <w:rsid w:val="005E0D79"/>
    <w:pPr>
      <w:spacing w:line="240" w:lineRule="auto"/>
    </w:pPr>
    <w:rPr>
      <w:sz w:val="20"/>
      <w:szCs w:val="20"/>
    </w:rPr>
  </w:style>
  <w:style w:type="character" w:customStyle="1" w:styleId="CommentTextChar">
    <w:name w:val="Comment Text Char"/>
    <w:basedOn w:val="DefaultParagraphFont"/>
    <w:link w:val="CommentText"/>
    <w:uiPriority w:val="99"/>
    <w:semiHidden/>
    <w:rsid w:val="005E0D79"/>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3E968-9053-4094-A306-968158F7C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895</Words>
  <Characters>5105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PUSCAS Ileana Sinziana</dc:creator>
  <cp:keywords/>
  <dc:description/>
  <cp:lastModifiedBy>PUSCAS Ileana Sinziana</cp:lastModifiedBy>
  <cp:revision>40</cp:revision>
  <dcterms:created xsi:type="dcterms:W3CDTF">2021-02-23T14:43:00Z</dcterms:created>
  <dcterms:modified xsi:type="dcterms:W3CDTF">2021-02-24T17:47:00Z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2021-02-23T14:43:08Z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27d7001a-cdd0-4a0e-a3b2-0b055c87e822</vt:lpwstr>
  </property>
  <property fmtid="{D5CDD505-2E9C-101B-9397-08002B2CF9AE}" pid="8" name="MSIP_Label_2059aa38-f392-4105-be92-628035578272_ContentBits">
    <vt:lpwstr>0</vt:lpwstr>
  </property>
</Properties>
</file>